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E77D" w14:textId="3311D9B3" w:rsidR="00982CA8" w:rsidRPr="00982CA8" w:rsidRDefault="00982CA8" w:rsidP="00982CA8">
      <w:pPr>
        <w:jc w:val="center"/>
        <w:rPr>
          <w:rFonts w:ascii="UD デジタル 教科書体 N-R" w:eastAsia="UD デジタル 教科書体 N-R"/>
          <w:sz w:val="24"/>
          <w:szCs w:val="32"/>
        </w:rPr>
      </w:pPr>
      <w:r w:rsidRPr="00982CA8">
        <w:rPr>
          <w:rFonts w:ascii="UD デジタル 教科書体 N-R" w:eastAsia="UD デジタル 教科書体 N-R" w:hint="eastAsia"/>
          <w:sz w:val="24"/>
          <w:szCs w:val="32"/>
        </w:rPr>
        <w:t xml:space="preserve">令和８年度　</w:t>
      </w:r>
      <w:r>
        <w:rPr>
          <w:rFonts w:ascii="UD デジタル 教科書体 N-R" w:eastAsia="UD デジタル 教科書体 N-R" w:hint="eastAsia"/>
          <w:sz w:val="24"/>
          <w:szCs w:val="32"/>
        </w:rPr>
        <w:t>特色選抜</w:t>
      </w:r>
      <w:r w:rsidRPr="00982CA8">
        <w:rPr>
          <w:rFonts w:ascii="UD デジタル 教科書体 N-R" w:eastAsia="UD デジタル 教科書体 N-R" w:hint="eastAsia"/>
          <w:sz w:val="24"/>
          <w:szCs w:val="32"/>
        </w:rPr>
        <w:t xml:space="preserve">　合否判定基準</w:t>
      </w:r>
    </w:p>
    <w:p w14:paraId="7E0AE514" w14:textId="085AA4D1" w:rsidR="00982CA8" w:rsidRPr="00982CA8" w:rsidRDefault="00982CA8" w:rsidP="00982CA8">
      <w:pPr>
        <w:jc w:val="right"/>
        <w:rPr>
          <w:rFonts w:ascii="UD デジタル 教科書体 N-R" w:eastAsia="UD デジタル 教科書体 N-R"/>
          <w:szCs w:val="21"/>
        </w:rPr>
      </w:pPr>
      <w:r w:rsidRPr="00982CA8">
        <w:rPr>
          <w:rFonts w:ascii="UD デジタル 教科書体 N-R" w:eastAsia="UD デジタル 教科書体 N-R" w:hint="eastAsia"/>
          <w:szCs w:val="21"/>
        </w:rPr>
        <w:t>沖縄県立南部農林高等学校</w:t>
      </w:r>
    </w:p>
    <w:p w14:paraId="2D02765C" w14:textId="5ED44C74" w:rsidR="00982CA8" w:rsidRDefault="00982CA8" w:rsidP="007111B4">
      <w:pPr>
        <w:pStyle w:val="a3"/>
        <w:numPr>
          <w:ilvl w:val="0"/>
          <w:numId w:val="10"/>
        </w:num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出願要件</w:t>
      </w:r>
    </w:p>
    <w:p w14:paraId="7FA25BD0" w14:textId="060B38CD" w:rsidR="000A1787" w:rsidRDefault="000A1787" w:rsidP="000A1787">
      <w:pPr>
        <w:pStyle w:val="a3"/>
        <w:ind w:left="440"/>
        <w:jc w:val="left"/>
        <w:rPr>
          <w:rFonts w:ascii="UD デジタル 教科書体 N-R" w:eastAsia="UD デジタル 教科書体 N-R"/>
          <w:szCs w:val="21"/>
        </w:rPr>
      </w:pPr>
      <w:r w:rsidRPr="000A1787">
        <w:rPr>
          <w:rFonts w:ascii="UD デジタル 教科書体 N-R" w:eastAsia="UD デジタル 教科書体 N-R" w:hint="eastAsia"/>
          <w:szCs w:val="21"/>
        </w:rPr>
        <w:t>本校の定める「入学者選抜における求める生徒像･選抜方法」に基づき、以下の※要件を満たしている者とする</w:t>
      </w:r>
      <w:r>
        <w:rPr>
          <w:rFonts w:ascii="UD デジタル 教科書体 N-R" w:eastAsia="UD デジタル 教科書体 N-R" w:hint="eastAsia"/>
          <w:szCs w:val="21"/>
        </w:rPr>
        <w:t>。</w:t>
      </w:r>
    </w:p>
    <w:p w14:paraId="3C984096" w14:textId="3422F3ED" w:rsidR="000A1787" w:rsidRDefault="000A1787" w:rsidP="000A1787">
      <w:pPr>
        <w:pStyle w:val="a3"/>
        <w:ind w:left="440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※要件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668"/>
        <w:gridCol w:w="2224"/>
        <w:gridCol w:w="2362"/>
        <w:gridCol w:w="2772"/>
      </w:tblGrid>
      <w:tr w:rsidR="000A1787" w:rsidRPr="002F1D96" w14:paraId="6924E7E5" w14:textId="77777777" w:rsidTr="006E3F4D">
        <w:tc>
          <w:tcPr>
            <w:tcW w:w="1668" w:type="dxa"/>
            <w:vAlign w:val="center"/>
          </w:tcPr>
          <w:p w14:paraId="4D18AF45" w14:textId="77777777" w:rsidR="000A1787" w:rsidRPr="002F1D96" w:rsidRDefault="000A1787" w:rsidP="00236C73">
            <w:pPr>
              <w:tabs>
                <w:tab w:val="left" w:pos="426"/>
                <w:tab w:val="left" w:pos="709"/>
              </w:tabs>
              <w:jc w:val="center"/>
            </w:pPr>
            <w:r w:rsidRPr="002F1D96">
              <w:rPr>
                <w:rFonts w:hint="eastAsia"/>
              </w:rPr>
              <w:t>学科名</w:t>
            </w:r>
          </w:p>
        </w:tc>
        <w:tc>
          <w:tcPr>
            <w:tcW w:w="2224" w:type="dxa"/>
            <w:vAlign w:val="center"/>
          </w:tcPr>
          <w:p w14:paraId="4708BCA4" w14:textId="77777777" w:rsidR="000A1787" w:rsidRPr="002F1D96" w:rsidRDefault="000A1787" w:rsidP="00236C73">
            <w:pPr>
              <w:tabs>
                <w:tab w:val="left" w:pos="426"/>
                <w:tab w:val="left" w:pos="709"/>
              </w:tabs>
              <w:jc w:val="center"/>
            </w:pPr>
            <w:r w:rsidRPr="002F1D96">
              <w:rPr>
                <w:rFonts w:hint="eastAsia"/>
              </w:rPr>
              <w:t>３ヵ年の内申点基準</w:t>
            </w:r>
          </w:p>
        </w:tc>
        <w:tc>
          <w:tcPr>
            <w:tcW w:w="2362" w:type="dxa"/>
            <w:vAlign w:val="center"/>
          </w:tcPr>
          <w:p w14:paraId="3539B080" w14:textId="77777777" w:rsidR="000A1787" w:rsidRPr="002F1D96" w:rsidRDefault="000A1787" w:rsidP="00236C73">
            <w:pPr>
              <w:tabs>
                <w:tab w:val="left" w:pos="426"/>
                <w:tab w:val="left" w:pos="709"/>
              </w:tabs>
              <w:jc w:val="center"/>
            </w:pPr>
            <w:r w:rsidRPr="002F1D96">
              <w:rPr>
                <w:rFonts w:hint="eastAsia"/>
              </w:rPr>
              <w:t>各教科の学習の記録</w:t>
            </w:r>
          </w:p>
        </w:tc>
        <w:tc>
          <w:tcPr>
            <w:tcW w:w="2772" w:type="dxa"/>
            <w:vAlign w:val="center"/>
          </w:tcPr>
          <w:p w14:paraId="0134FEF0" w14:textId="77777777" w:rsidR="000A1787" w:rsidRPr="002F1D96" w:rsidRDefault="000A1787" w:rsidP="00236C73">
            <w:pPr>
              <w:tabs>
                <w:tab w:val="left" w:pos="426"/>
                <w:tab w:val="left" w:pos="709"/>
              </w:tabs>
              <w:jc w:val="center"/>
            </w:pPr>
            <w:r w:rsidRPr="002F1D96">
              <w:rPr>
                <w:rFonts w:hint="eastAsia"/>
              </w:rPr>
              <w:t>出欠の記録</w:t>
            </w:r>
          </w:p>
        </w:tc>
      </w:tr>
      <w:tr w:rsidR="006E3F4D" w:rsidRPr="002F1D96" w14:paraId="6764407E" w14:textId="77777777" w:rsidTr="006E3F4D">
        <w:tc>
          <w:tcPr>
            <w:tcW w:w="1668" w:type="dxa"/>
          </w:tcPr>
          <w:p w14:paraId="47E12A90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  <w:r w:rsidRPr="002F1D96">
              <w:rPr>
                <w:rFonts w:hint="eastAsia"/>
              </w:rPr>
              <w:t>食料生産科</w:t>
            </w:r>
          </w:p>
        </w:tc>
        <w:tc>
          <w:tcPr>
            <w:tcW w:w="2224" w:type="dxa"/>
            <w:vMerge w:val="restart"/>
            <w:vAlign w:val="center"/>
          </w:tcPr>
          <w:p w14:paraId="242AAA9C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  <w:jc w:val="center"/>
            </w:pPr>
            <w:r w:rsidRPr="002F1D96">
              <w:rPr>
                <w:rFonts w:hint="eastAsia"/>
              </w:rPr>
              <w:t>3.0以上</w:t>
            </w:r>
          </w:p>
        </w:tc>
        <w:tc>
          <w:tcPr>
            <w:tcW w:w="2362" w:type="dxa"/>
            <w:vMerge w:val="restart"/>
            <w:vAlign w:val="center"/>
          </w:tcPr>
          <w:p w14:paraId="13DFE36A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  <w:jc w:val="center"/>
            </w:pPr>
            <w:r w:rsidRPr="002F1D96">
              <w:rPr>
                <w:rFonts w:hint="eastAsia"/>
              </w:rPr>
              <w:t>３学年において全科目に評定１がない者</w:t>
            </w:r>
          </w:p>
          <w:p w14:paraId="0F240A97" w14:textId="77777777" w:rsidR="006E3F4D" w:rsidRDefault="006E3F4D" w:rsidP="00236C73">
            <w:pPr>
              <w:tabs>
                <w:tab w:val="left" w:pos="426"/>
                <w:tab w:val="left" w:pos="709"/>
              </w:tabs>
              <w:jc w:val="center"/>
            </w:pPr>
            <w:r w:rsidRPr="002F1D96">
              <w:rPr>
                <w:rFonts w:hint="eastAsia"/>
              </w:rPr>
              <w:t>（５段階評価）</w:t>
            </w:r>
          </w:p>
          <w:p w14:paraId="74B6F55B" w14:textId="77777777" w:rsidR="006E3F4D" w:rsidRPr="00F5291E" w:rsidRDefault="006E3F4D" w:rsidP="00236C73"/>
        </w:tc>
        <w:tc>
          <w:tcPr>
            <w:tcW w:w="2772" w:type="dxa"/>
            <w:vMerge w:val="restart"/>
            <w:vAlign w:val="center"/>
          </w:tcPr>
          <w:p w14:paraId="29EF8E3C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  <w:jc w:val="center"/>
            </w:pPr>
            <w:r w:rsidRPr="002F1D96">
              <w:rPr>
                <w:rFonts w:hint="eastAsia"/>
              </w:rPr>
              <w:t>３年間を通じて無届欠席が</w:t>
            </w:r>
          </w:p>
          <w:p w14:paraId="6630561B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  <w:jc w:val="center"/>
            </w:pPr>
            <w:r w:rsidRPr="002F1D96">
              <w:rPr>
                <w:rFonts w:hint="eastAsia"/>
              </w:rPr>
              <w:t>１０回以下の者</w:t>
            </w:r>
          </w:p>
        </w:tc>
      </w:tr>
      <w:tr w:rsidR="006E3F4D" w:rsidRPr="002F1D96" w14:paraId="61DD7CAA" w14:textId="77777777" w:rsidTr="006E3F4D">
        <w:tc>
          <w:tcPr>
            <w:tcW w:w="1668" w:type="dxa"/>
          </w:tcPr>
          <w:p w14:paraId="0C0B1731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  <w:r w:rsidRPr="002F1D96">
              <w:rPr>
                <w:rFonts w:hint="eastAsia"/>
              </w:rPr>
              <w:t>生物資源科</w:t>
            </w:r>
          </w:p>
        </w:tc>
        <w:tc>
          <w:tcPr>
            <w:tcW w:w="2224" w:type="dxa"/>
            <w:vMerge/>
            <w:vAlign w:val="center"/>
          </w:tcPr>
          <w:p w14:paraId="2085581E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  <w:jc w:val="center"/>
            </w:pPr>
          </w:p>
        </w:tc>
        <w:tc>
          <w:tcPr>
            <w:tcW w:w="2362" w:type="dxa"/>
            <w:vMerge/>
          </w:tcPr>
          <w:p w14:paraId="36923BE9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2772" w:type="dxa"/>
            <w:vMerge/>
          </w:tcPr>
          <w:p w14:paraId="23111849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</w:p>
        </w:tc>
      </w:tr>
      <w:tr w:rsidR="006E3F4D" w:rsidRPr="002F1D96" w14:paraId="1B55574A" w14:textId="77777777" w:rsidTr="006E3F4D">
        <w:tc>
          <w:tcPr>
            <w:tcW w:w="1668" w:type="dxa"/>
          </w:tcPr>
          <w:p w14:paraId="09045EED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  <w:r w:rsidRPr="002F1D96">
              <w:rPr>
                <w:rFonts w:hint="eastAsia"/>
              </w:rPr>
              <w:t>食品加工科</w:t>
            </w:r>
          </w:p>
        </w:tc>
        <w:tc>
          <w:tcPr>
            <w:tcW w:w="2224" w:type="dxa"/>
            <w:vMerge/>
            <w:vAlign w:val="center"/>
          </w:tcPr>
          <w:p w14:paraId="07BA636C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  <w:jc w:val="center"/>
            </w:pPr>
          </w:p>
        </w:tc>
        <w:tc>
          <w:tcPr>
            <w:tcW w:w="2362" w:type="dxa"/>
            <w:vMerge/>
          </w:tcPr>
          <w:p w14:paraId="1484D7FD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2772" w:type="dxa"/>
            <w:vMerge/>
          </w:tcPr>
          <w:p w14:paraId="475ECFC3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</w:p>
        </w:tc>
      </w:tr>
      <w:tr w:rsidR="006E3F4D" w:rsidRPr="002F1D96" w14:paraId="4A9CAA1B" w14:textId="77777777" w:rsidTr="006E3F4D">
        <w:tc>
          <w:tcPr>
            <w:tcW w:w="1668" w:type="dxa"/>
          </w:tcPr>
          <w:p w14:paraId="3402777E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  <w:r w:rsidRPr="002F1D96">
              <w:rPr>
                <w:rFonts w:hint="eastAsia"/>
              </w:rPr>
              <w:t>環境創造科</w:t>
            </w:r>
          </w:p>
        </w:tc>
        <w:tc>
          <w:tcPr>
            <w:tcW w:w="2224" w:type="dxa"/>
            <w:vMerge/>
            <w:vAlign w:val="center"/>
          </w:tcPr>
          <w:p w14:paraId="5DAEECCC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  <w:jc w:val="center"/>
            </w:pPr>
          </w:p>
        </w:tc>
        <w:tc>
          <w:tcPr>
            <w:tcW w:w="2362" w:type="dxa"/>
            <w:vMerge/>
          </w:tcPr>
          <w:p w14:paraId="1ABF27A7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2772" w:type="dxa"/>
            <w:vMerge/>
          </w:tcPr>
          <w:p w14:paraId="3260E778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</w:p>
        </w:tc>
      </w:tr>
      <w:tr w:rsidR="006E3F4D" w:rsidRPr="002F1D96" w14:paraId="2F7A278A" w14:textId="77777777" w:rsidTr="006E3F4D">
        <w:tc>
          <w:tcPr>
            <w:tcW w:w="1668" w:type="dxa"/>
          </w:tcPr>
          <w:p w14:paraId="77369A88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  <w:r w:rsidRPr="002F1D96">
              <w:rPr>
                <w:rFonts w:hint="eastAsia"/>
              </w:rPr>
              <w:t>生活デザイン科</w:t>
            </w:r>
          </w:p>
        </w:tc>
        <w:tc>
          <w:tcPr>
            <w:tcW w:w="2224" w:type="dxa"/>
            <w:vMerge/>
            <w:vAlign w:val="center"/>
          </w:tcPr>
          <w:p w14:paraId="04D3539D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  <w:jc w:val="center"/>
            </w:pPr>
          </w:p>
        </w:tc>
        <w:tc>
          <w:tcPr>
            <w:tcW w:w="2362" w:type="dxa"/>
            <w:vMerge/>
          </w:tcPr>
          <w:p w14:paraId="3A3B596B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2772" w:type="dxa"/>
            <w:vMerge/>
          </w:tcPr>
          <w:p w14:paraId="11E23E3B" w14:textId="77777777" w:rsidR="006E3F4D" w:rsidRPr="002F1D96" w:rsidRDefault="006E3F4D" w:rsidP="00236C73">
            <w:pPr>
              <w:tabs>
                <w:tab w:val="left" w:pos="426"/>
                <w:tab w:val="left" w:pos="709"/>
              </w:tabs>
            </w:pPr>
          </w:p>
        </w:tc>
      </w:tr>
    </w:tbl>
    <w:p w14:paraId="32D5C375" w14:textId="3A28496E" w:rsidR="000A1787" w:rsidRPr="000A1787" w:rsidRDefault="000A1787" w:rsidP="000A1787">
      <w:pPr>
        <w:jc w:val="left"/>
        <w:rPr>
          <w:rFonts w:ascii="UD デジタル 教科書体 N-R" w:eastAsia="UD デジタル 教科書体 N-R"/>
          <w:szCs w:val="21"/>
        </w:rPr>
      </w:pPr>
    </w:p>
    <w:p w14:paraId="59F1A4DE" w14:textId="250A27D7" w:rsidR="00982CA8" w:rsidRDefault="00982CA8" w:rsidP="007111B4">
      <w:pPr>
        <w:pStyle w:val="a3"/>
        <w:numPr>
          <w:ilvl w:val="0"/>
          <w:numId w:val="10"/>
        </w:num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配点【合計</w:t>
      </w:r>
      <w:r w:rsidR="00B00036">
        <w:rPr>
          <w:rFonts w:ascii="UD デジタル 教科書体 N-R" w:eastAsia="UD デジタル 教科書体 N-R" w:hint="eastAsia"/>
          <w:szCs w:val="21"/>
        </w:rPr>
        <w:t xml:space="preserve">　</w:t>
      </w:r>
      <w:r>
        <w:rPr>
          <w:rFonts w:ascii="UD デジタル 教科書体 N-R" w:eastAsia="UD デジタル 教科書体 N-R" w:hint="eastAsia"/>
          <w:szCs w:val="21"/>
        </w:rPr>
        <w:t>５１５点】</w:t>
      </w:r>
    </w:p>
    <w:p w14:paraId="4F4B8E6C" w14:textId="2F800AF7" w:rsidR="00982CA8" w:rsidRDefault="00982CA8" w:rsidP="007111B4">
      <w:pPr>
        <w:pStyle w:val="a3"/>
        <w:numPr>
          <w:ilvl w:val="0"/>
          <w:numId w:val="1"/>
        </w:num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学力検査【配点　２</w:t>
      </w:r>
      <w:r w:rsidR="00B00036">
        <w:rPr>
          <w:rFonts w:ascii="UD デジタル 教科書体 N-R" w:eastAsia="UD デジタル 教科書体 N-R" w:hint="eastAsia"/>
          <w:szCs w:val="21"/>
        </w:rPr>
        <w:t>５０</w:t>
      </w:r>
      <w:r>
        <w:rPr>
          <w:rFonts w:ascii="UD デジタル 教科書体 N-R" w:eastAsia="UD デジタル 教科書体 N-R" w:hint="eastAsia"/>
          <w:szCs w:val="21"/>
        </w:rPr>
        <w:t>点】</w:t>
      </w:r>
    </w:p>
    <w:p w14:paraId="79E93F90" w14:textId="73ECA14D" w:rsidR="00982CA8" w:rsidRPr="00982CA8" w:rsidRDefault="00B00036" w:rsidP="00982CA8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 xml:space="preserve">　　　一般選抜の学力検査のうち、思考力等を問う記述式問題以外の得点を</w:t>
      </w:r>
      <w:r w:rsidR="00233CBB">
        <w:rPr>
          <w:rFonts w:ascii="UD デジタル 教科書体 N-R" w:eastAsia="UD デジタル 教科書体 N-R" w:hint="eastAsia"/>
          <w:szCs w:val="21"/>
        </w:rPr>
        <w:t>学力検査点</w:t>
      </w:r>
      <w:r>
        <w:rPr>
          <w:rFonts w:ascii="UD デジタル 教科書体 N-R" w:eastAsia="UD デジタル 教科書体 N-R" w:hint="eastAsia"/>
          <w:szCs w:val="21"/>
        </w:rPr>
        <w:t>として取り扱う。</w:t>
      </w:r>
    </w:p>
    <w:p w14:paraId="2ACAC583" w14:textId="4F5C5A89" w:rsidR="00982CA8" w:rsidRDefault="00982CA8" w:rsidP="007111B4">
      <w:pPr>
        <w:pStyle w:val="a3"/>
        <w:numPr>
          <w:ilvl w:val="0"/>
          <w:numId w:val="1"/>
        </w:num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調査書</w:t>
      </w:r>
      <w:r w:rsidRPr="00982CA8">
        <w:rPr>
          <w:rFonts w:ascii="UD デジタル 教科書体 N-R" w:eastAsia="UD デジタル 教科書体 N-R" w:hint="eastAsia"/>
          <w:szCs w:val="21"/>
        </w:rPr>
        <w:t xml:space="preserve">【配点　</w:t>
      </w:r>
      <w:r w:rsidR="00B00036">
        <w:rPr>
          <w:rFonts w:ascii="UD デジタル 教科書体 N-R" w:eastAsia="UD デジタル 教科書体 N-R" w:hint="eastAsia"/>
          <w:szCs w:val="21"/>
        </w:rPr>
        <w:t>２１５</w:t>
      </w:r>
      <w:r w:rsidRPr="00982CA8">
        <w:rPr>
          <w:rFonts w:ascii="UD デジタル 教科書体 N-R" w:eastAsia="UD デジタル 教科書体 N-R" w:hint="eastAsia"/>
          <w:szCs w:val="21"/>
        </w:rPr>
        <w:t>点】</w:t>
      </w:r>
    </w:p>
    <w:p w14:paraId="7732B88F" w14:textId="13A3155C" w:rsidR="00982CA8" w:rsidRDefault="00982CA8" w:rsidP="007111B4">
      <w:pPr>
        <w:pStyle w:val="a3"/>
        <w:numPr>
          <w:ilvl w:val="0"/>
          <w:numId w:val="12"/>
        </w:numPr>
        <w:jc w:val="left"/>
        <w:rPr>
          <w:rFonts w:ascii="UD デジタル 教科書体 N-R" w:eastAsia="UD デジタル 教科書体 N-R"/>
          <w:szCs w:val="21"/>
        </w:rPr>
      </w:pPr>
      <w:r w:rsidRPr="00982CA8">
        <w:rPr>
          <w:rFonts w:ascii="UD デジタル 教科書体 N-R" w:eastAsia="UD デジタル 教科書体 N-R"/>
          <w:szCs w:val="21"/>
        </w:rPr>
        <w:t>教科の評定（配点　１６５点）</w:t>
      </w:r>
    </w:p>
    <w:p w14:paraId="56DFCCD6" w14:textId="4EF8D3B0" w:rsidR="00B00036" w:rsidRPr="00982CA8" w:rsidRDefault="00003BA0" w:rsidP="00B00036">
      <w:pPr>
        <w:pStyle w:val="a3"/>
        <w:ind w:left="1067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調査書中の１年から３年までの９教科の評定を合計し、評定合計点とする（※</w:t>
      </w:r>
      <w:r w:rsidR="00B00036">
        <w:rPr>
          <w:rFonts w:ascii="UD デジタル 教科書体 N-R" w:eastAsia="UD デジタル 教科書体 N-R" w:hint="eastAsia"/>
          <w:szCs w:val="21"/>
        </w:rPr>
        <w:t>音楽・美術・保健体育・技術・家庭の評価を１．５倍にして換算する。</w:t>
      </w:r>
      <w:r>
        <w:rPr>
          <w:rFonts w:ascii="UD デジタル 教科書体 N-R" w:eastAsia="UD デジタル 教科書体 N-R" w:hint="eastAsia"/>
          <w:szCs w:val="21"/>
        </w:rPr>
        <w:t>）</w:t>
      </w:r>
    </w:p>
    <w:p w14:paraId="7BB8B4E2" w14:textId="39E8CAA2" w:rsidR="00982CA8" w:rsidRDefault="00982CA8" w:rsidP="007111B4">
      <w:pPr>
        <w:pStyle w:val="a3"/>
        <w:numPr>
          <w:ilvl w:val="0"/>
          <w:numId w:val="12"/>
        </w:numPr>
        <w:jc w:val="left"/>
        <w:rPr>
          <w:rFonts w:ascii="UD デジタル 教科書体 N-R" w:eastAsia="UD デジタル 教科書体 N-R"/>
          <w:szCs w:val="21"/>
        </w:rPr>
      </w:pPr>
      <w:r w:rsidRPr="00982CA8">
        <w:rPr>
          <w:rFonts w:ascii="UD デジタル 教科書体 N-R" w:eastAsia="UD デジタル 教科書体 N-R" w:hint="eastAsia"/>
          <w:szCs w:val="21"/>
        </w:rPr>
        <w:t>内申（配点　５０点）</w:t>
      </w:r>
    </w:p>
    <w:p w14:paraId="6C1DDFB3" w14:textId="1BA7875A" w:rsidR="00B00036" w:rsidRDefault="00B00036" w:rsidP="00B00036">
      <w:pPr>
        <w:pStyle w:val="a3"/>
        <w:ind w:left="1067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実績の評価基準</w:t>
      </w:r>
      <w:r w:rsidR="00562375">
        <w:rPr>
          <w:rStyle w:val="normaltextrun"/>
          <w:rFonts w:hint="eastAsia"/>
          <w:color w:val="000000"/>
          <w:szCs w:val="21"/>
          <w:shd w:val="clear" w:color="auto" w:fill="FFFFFF"/>
        </w:rPr>
        <w:t>『令和８年度　特色選抜の実績の基準』</w:t>
      </w:r>
      <w:r>
        <w:rPr>
          <w:rFonts w:ascii="UD デジタル 教科書体 N-R" w:eastAsia="UD デジタル 教科書体 N-R" w:hint="eastAsia"/>
          <w:szCs w:val="21"/>
        </w:rPr>
        <w:t>より５０点満点</w:t>
      </w:r>
    </w:p>
    <w:p w14:paraId="5F3E9D86" w14:textId="14250E35" w:rsidR="00B00036" w:rsidRPr="000A1787" w:rsidRDefault="00B00036" w:rsidP="00B00036">
      <w:pPr>
        <w:pStyle w:val="a3"/>
        <w:ind w:left="1067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※行動の記録等は参考とする。</w:t>
      </w:r>
    </w:p>
    <w:p w14:paraId="1040A401" w14:textId="21772D8A" w:rsidR="00982CA8" w:rsidRDefault="00982CA8" w:rsidP="007111B4">
      <w:pPr>
        <w:pStyle w:val="a3"/>
        <w:numPr>
          <w:ilvl w:val="0"/>
          <w:numId w:val="1"/>
        </w:num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面接</w:t>
      </w:r>
      <w:r w:rsidRPr="00982CA8">
        <w:rPr>
          <w:rFonts w:ascii="UD デジタル 教科書体 N-R" w:eastAsia="UD デジタル 教科書体 N-R" w:hint="eastAsia"/>
          <w:szCs w:val="21"/>
        </w:rPr>
        <w:t xml:space="preserve">【配点　</w:t>
      </w:r>
      <w:r w:rsidR="000A1787">
        <w:rPr>
          <w:rFonts w:ascii="UD デジタル 教科書体 N-R" w:eastAsia="UD デジタル 教科書体 N-R" w:hint="eastAsia"/>
          <w:szCs w:val="21"/>
        </w:rPr>
        <w:t>５０</w:t>
      </w:r>
      <w:r w:rsidRPr="00982CA8">
        <w:rPr>
          <w:rFonts w:ascii="UD デジタル 教科書体 N-R" w:eastAsia="UD デジタル 教科書体 N-R" w:hint="eastAsia"/>
          <w:szCs w:val="21"/>
        </w:rPr>
        <w:t>点】</w:t>
      </w:r>
    </w:p>
    <w:p w14:paraId="0657E5F3" w14:textId="1A296CBB" w:rsidR="000A1787" w:rsidRDefault="000A1787" w:rsidP="007111B4">
      <w:pPr>
        <w:pStyle w:val="a3"/>
        <w:numPr>
          <w:ilvl w:val="0"/>
          <w:numId w:val="5"/>
        </w:num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個人面接</w:t>
      </w:r>
    </w:p>
    <w:p w14:paraId="3BAA6042" w14:textId="2352E2A8" w:rsidR="000A1787" w:rsidRDefault="000A1787" w:rsidP="007111B4">
      <w:pPr>
        <w:pStyle w:val="a3"/>
        <w:numPr>
          <w:ilvl w:val="0"/>
          <w:numId w:val="5"/>
        </w:num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１０分程度</w:t>
      </w:r>
    </w:p>
    <w:p w14:paraId="4039D783" w14:textId="34BA3A6C" w:rsidR="00982CA8" w:rsidRDefault="00003BA0" w:rsidP="007111B4">
      <w:pPr>
        <w:pStyle w:val="a3"/>
        <w:numPr>
          <w:ilvl w:val="0"/>
          <w:numId w:val="10"/>
        </w:num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合否の判定</w:t>
      </w:r>
    </w:p>
    <w:p w14:paraId="2A21D970" w14:textId="3E4FBE8A" w:rsidR="00003BA0" w:rsidRPr="005056E9" w:rsidRDefault="00003BA0" w:rsidP="005056E9">
      <w:pPr>
        <w:pStyle w:val="a3"/>
        <w:ind w:left="440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上記</w:t>
      </w:r>
      <w:r>
        <w:rPr>
          <w:rFonts w:ascii="UD デジタル 教科書体 N-R" w:eastAsia="UD デジタル 教科書体 N-R"/>
          <w:szCs w:val="21"/>
        </w:rPr>
        <w:t>2.(1)</w:t>
      </w:r>
      <w:r>
        <w:rPr>
          <w:rFonts w:ascii="UD デジタル 教科書体 N-R" w:eastAsia="UD デジタル 教科書体 N-R" w:hint="eastAsia"/>
          <w:szCs w:val="21"/>
        </w:rPr>
        <w:t>から</w:t>
      </w:r>
      <w:r>
        <w:rPr>
          <w:rFonts w:ascii="UD デジタル 教科書体 N-R" w:eastAsia="UD デジタル 教科書体 N-R"/>
          <w:szCs w:val="21"/>
        </w:rPr>
        <w:t>(</w:t>
      </w:r>
      <w:r w:rsidR="00733137">
        <w:rPr>
          <w:rFonts w:ascii="UD デジタル 教科書体 N-R" w:eastAsia="UD デジタル 教科書体 N-R"/>
          <w:szCs w:val="21"/>
        </w:rPr>
        <w:t>3</w:t>
      </w:r>
      <w:r>
        <w:rPr>
          <w:rFonts w:ascii="UD デジタル 教科書体 N-R" w:eastAsia="UD デジタル 教科書体 N-R" w:hint="eastAsia"/>
          <w:szCs w:val="21"/>
        </w:rPr>
        <w:t>)を</w:t>
      </w:r>
      <w:r w:rsidR="00762BED" w:rsidRPr="00762BED">
        <w:rPr>
          <w:rFonts w:ascii="UD デジタル 教科書体 N-R" w:eastAsia="UD デジタル 教科書体 N-R" w:hint="eastAsia"/>
          <w:szCs w:val="21"/>
        </w:rPr>
        <w:t>基に、調査書の記載内容と面接を考慮しながら、求める生徒像に照らして総合的に判断し、選抜する</w:t>
      </w:r>
      <w:r w:rsidR="003D3385">
        <w:rPr>
          <w:rFonts w:ascii="UD デジタル 教科書体 N-R" w:eastAsia="UD デジタル 教科書体 N-R" w:hint="eastAsia"/>
          <w:szCs w:val="21"/>
        </w:rPr>
        <w:t>。</w:t>
      </w:r>
    </w:p>
    <w:p w14:paraId="04DEA12D" w14:textId="77777777" w:rsidR="00982CA8" w:rsidRPr="00982CA8" w:rsidRDefault="00982CA8" w:rsidP="00982CA8">
      <w:pPr>
        <w:jc w:val="left"/>
        <w:rPr>
          <w:rFonts w:ascii="UD デジタル 教科書体 N-R" w:eastAsia="UD デジタル 教科書体 N-R"/>
          <w:szCs w:val="21"/>
        </w:rPr>
      </w:pPr>
    </w:p>
    <w:p w14:paraId="250D4AE9" w14:textId="77777777" w:rsidR="00982CA8" w:rsidRPr="00982CA8" w:rsidRDefault="00982CA8" w:rsidP="00982CA8">
      <w:pPr>
        <w:jc w:val="left"/>
        <w:rPr>
          <w:rFonts w:ascii="UD デジタル 教科書体 N-R" w:eastAsia="UD デジタル 教科書体 N-R"/>
          <w:szCs w:val="21"/>
        </w:rPr>
      </w:pPr>
    </w:p>
    <w:p w14:paraId="2B1F28B6" w14:textId="77777777" w:rsidR="00982CA8" w:rsidRDefault="00982CA8" w:rsidP="00982CA8">
      <w:pPr>
        <w:jc w:val="left"/>
        <w:rPr>
          <w:rFonts w:ascii="UD デジタル 教科書体 N-R" w:eastAsia="UD デジタル 教科書体 N-R"/>
          <w:szCs w:val="21"/>
        </w:rPr>
      </w:pPr>
    </w:p>
    <w:p w14:paraId="641F3649" w14:textId="77777777" w:rsidR="006E3F4D" w:rsidRDefault="006E3F4D" w:rsidP="00982CA8">
      <w:pPr>
        <w:jc w:val="left"/>
        <w:rPr>
          <w:rFonts w:ascii="UD デジタル 教科書体 N-R" w:eastAsia="UD デジタル 教科書体 N-R"/>
          <w:szCs w:val="21"/>
        </w:rPr>
      </w:pPr>
    </w:p>
    <w:p w14:paraId="6A3D430E" w14:textId="77777777" w:rsidR="00D94453" w:rsidRDefault="00D94453" w:rsidP="00982CA8">
      <w:pPr>
        <w:jc w:val="left"/>
        <w:rPr>
          <w:rFonts w:ascii="UD デジタル 教科書体 N-R" w:eastAsia="UD デジタル 教科書体 N-R" w:hint="eastAsia"/>
          <w:szCs w:val="21"/>
        </w:rPr>
      </w:pPr>
    </w:p>
    <w:p w14:paraId="706191D1" w14:textId="77777777" w:rsidR="006E3F4D" w:rsidRPr="00982CA8" w:rsidRDefault="006E3F4D" w:rsidP="00982CA8">
      <w:pPr>
        <w:jc w:val="left"/>
        <w:rPr>
          <w:rFonts w:ascii="UD デジタル 教科書体 N-R" w:eastAsia="UD デジタル 教科書体 N-R"/>
          <w:szCs w:val="21"/>
        </w:rPr>
      </w:pPr>
    </w:p>
    <w:p w14:paraId="1C9A6A83" w14:textId="77777777" w:rsidR="00982CA8" w:rsidRPr="00982CA8" w:rsidRDefault="00982CA8" w:rsidP="00982CA8">
      <w:pPr>
        <w:jc w:val="left"/>
        <w:rPr>
          <w:rFonts w:ascii="UD デジタル 教科書体 N-R" w:eastAsia="UD デジタル 教科書体 N-R"/>
          <w:szCs w:val="21"/>
        </w:rPr>
      </w:pPr>
    </w:p>
    <w:p w14:paraId="50FF1569" w14:textId="77777777" w:rsidR="00982CA8" w:rsidRDefault="00982CA8" w:rsidP="00982CA8">
      <w:pPr>
        <w:jc w:val="left"/>
        <w:rPr>
          <w:rFonts w:ascii="UD デジタル 教科書体 N-R" w:eastAsia="UD デジタル 教科書体 N-R"/>
          <w:sz w:val="24"/>
          <w:szCs w:val="32"/>
        </w:rPr>
      </w:pPr>
    </w:p>
    <w:p w14:paraId="18F8EA94" w14:textId="6AF4EB98" w:rsidR="00D00711" w:rsidRPr="00293AE7" w:rsidRDefault="005248E9" w:rsidP="005248E9">
      <w:pPr>
        <w:jc w:val="center"/>
        <w:rPr>
          <w:rFonts w:ascii="UD デジタル 教科書体 N-R" w:eastAsia="UD デジタル 教科書体 N-R"/>
          <w:sz w:val="24"/>
          <w:szCs w:val="32"/>
        </w:rPr>
      </w:pPr>
      <w:r w:rsidRPr="00293AE7">
        <w:rPr>
          <w:rFonts w:ascii="UD デジタル 教科書体 N-R" w:eastAsia="UD デジタル 教科書体 N-R" w:hint="eastAsia"/>
          <w:sz w:val="24"/>
          <w:szCs w:val="32"/>
        </w:rPr>
        <w:lastRenderedPageBreak/>
        <w:t>令和８年度　一般選抜　合否判定基準</w:t>
      </w:r>
    </w:p>
    <w:p w14:paraId="3AE42D20" w14:textId="042CBCC8" w:rsidR="005248E9" w:rsidRPr="00293AE7" w:rsidRDefault="00293AE7" w:rsidP="00293AE7">
      <w:pPr>
        <w:jc w:val="right"/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沖縄県立南部農林高等学校</w:t>
      </w:r>
    </w:p>
    <w:p w14:paraId="55B35DE6" w14:textId="457079E7" w:rsidR="005248E9" w:rsidRPr="00293AE7" w:rsidRDefault="00645ECC" w:rsidP="007111B4">
      <w:pPr>
        <w:pStyle w:val="a3"/>
        <w:numPr>
          <w:ilvl w:val="0"/>
          <w:numId w:val="6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学力検査について</w:t>
      </w:r>
    </w:p>
    <w:p w14:paraId="0526DA28" w14:textId="35145539" w:rsidR="005248E9" w:rsidRPr="00293AE7" w:rsidRDefault="00293AE7" w:rsidP="005248E9">
      <w:pPr>
        <w:pStyle w:val="a3"/>
        <w:ind w:left="440"/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５教科の学力検査の得点を合計したものを学力検査点とする</w:t>
      </w:r>
    </w:p>
    <w:p w14:paraId="0DB27702" w14:textId="7B3F57D4" w:rsidR="00293AE7" w:rsidRPr="00293AE7" w:rsidRDefault="00293AE7" w:rsidP="007111B4">
      <w:pPr>
        <w:pStyle w:val="a3"/>
        <w:numPr>
          <w:ilvl w:val="0"/>
          <w:numId w:val="6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面接について</w:t>
      </w:r>
    </w:p>
    <w:p w14:paraId="3C632AD4" w14:textId="77777777" w:rsidR="00293AE7" w:rsidRPr="00293AE7" w:rsidRDefault="00293AE7" w:rsidP="007111B4">
      <w:pPr>
        <w:pStyle w:val="a3"/>
        <w:numPr>
          <w:ilvl w:val="0"/>
          <w:numId w:val="8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提出書類の記載事項の確認及び志願者についての理解を深める。</w:t>
      </w:r>
    </w:p>
    <w:p w14:paraId="128C526F" w14:textId="5062A645" w:rsidR="00293AE7" w:rsidRPr="00293AE7" w:rsidRDefault="00293AE7" w:rsidP="007111B4">
      <w:pPr>
        <w:pStyle w:val="a3"/>
        <w:numPr>
          <w:ilvl w:val="0"/>
          <w:numId w:val="8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志願者の特性、目的意識を確認する。</w:t>
      </w:r>
    </w:p>
    <w:p w14:paraId="5F12F551" w14:textId="7EBC0255" w:rsidR="00293AE7" w:rsidRPr="00293AE7" w:rsidRDefault="00645ECC" w:rsidP="007111B4">
      <w:pPr>
        <w:pStyle w:val="a3"/>
        <w:numPr>
          <w:ilvl w:val="0"/>
          <w:numId w:val="6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合否の判定について</w:t>
      </w:r>
    </w:p>
    <w:p w14:paraId="755A132B" w14:textId="648E508E" w:rsidR="00293AE7" w:rsidRPr="00293AE7" w:rsidRDefault="00293AE7" w:rsidP="007111B4">
      <w:pPr>
        <w:pStyle w:val="a3"/>
        <w:numPr>
          <w:ilvl w:val="0"/>
          <w:numId w:val="4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調査書と学力検査点は、５：５の比重で合否判定を行う。</w:t>
      </w:r>
    </w:p>
    <w:p w14:paraId="29C46384" w14:textId="0C4FDCF8" w:rsidR="00293AE7" w:rsidRPr="00293AE7" w:rsidRDefault="00293AE7" w:rsidP="007111B4">
      <w:pPr>
        <w:pStyle w:val="a3"/>
        <w:numPr>
          <w:ilvl w:val="0"/>
          <w:numId w:val="4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内申点と学力検査点を基にして総合点の算出により、各圏を設定する。</w:t>
      </w:r>
    </w:p>
    <w:p w14:paraId="795672FF" w14:textId="5F5BC7F5" w:rsidR="00293AE7" w:rsidRPr="00293AE7" w:rsidRDefault="00293AE7" w:rsidP="007111B4">
      <w:pPr>
        <w:pStyle w:val="a3"/>
        <w:numPr>
          <w:ilvl w:val="0"/>
          <w:numId w:val="6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各圏の設定の仕方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973"/>
        <w:gridCol w:w="8317"/>
      </w:tblGrid>
      <w:tr w:rsidR="00293AE7" w14:paraId="0307CFE2" w14:textId="77777777" w:rsidTr="00293AE7">
        <w:tc>
          <w:tcPr>
            <w:tcW w:w="973" w:type="dxa"/>
            <w:vAlign w:val="center"/>
          </w:tcPr>
          <w:p w14:paraId="663587FC" w14:textId="1A1303D0" w:rsidR="00293AE7" w:rsidRDefault="00293AE7" w:rsidP="00293AE7">
            <w:pPr>
              <w:pStyle w:val="a3"/>
              <w:ind w:left="0"/>
              <w:jc w:val="center"/>
              <w:rPr>
                <w:rFonts w:ascii="UD ??????? ?????? N-R" w:eastAsia="UD ??????? ?????? N-R"/>
              </w:rPr>
            </w:pPr>
            <w:r w:rsidRPr="00293AE7">
              <w:rPr>
                <w:rFonts w:ascii="UD ??????? ?????? N-R" w:eastAsia="UD ??????? ?????? N-R"/>
              </w:rPr>
              <w:t>Ａ  圏</w:t>
            </w:r>
          </w:p>
        </w:tc>
        <w:tc>
          <w:tcPr>
            <w:tcW w:w="8317" w:type="dxa"/>
          </w:tcPr>
          <w:p w14:paraId="2EAECD54" w14:textId="39C93D25" w:rsidR="00293AE7" w:rsidRDefault="00293AE7" w:rsidP="00293AE7">
            <w:pPr>
              <w:pStyle w:val="a3"/>
              <w:ind w:left="0"/>
              <w:rPr>
                <w:rFonts w:ascii="UD ??????? ?????? N-R" w:eastAsia="UD ??????? ?????? N-R"/>
              </w:rPr>
            </w:pPr>
            <w:r w:rsidRPr="00293AE7">
              <w:rPr>
                <w:rFonts w:ascii="UD ??????? ?????? N-R" w:eastAsia="UD ??????? ?????? N-R"/>
              </w:rPr>
              <w:t>内申点、学力検査点に基づいて募集人員(特色選抜合格者を除く、以下同じ)の80%程度の人数が含まれるように範囲を設定してＡ圏とする。</w:t>
            </w:r>
          </w:p>
        </w:tc>
      </w:tr>
      <w:tr w:rsidR="00293AE7" w14:paraId="4C4A7471" w14:textId="77777777" w:rsidTr="00293AE7">
        <w:tc>
          <w:tcPr>
            <w:tcW w:w="973" w:type="dxa"/>
            <w:vAlign w:val="center"/>
          </w:tcPr>
          <w:p w14:paraId="5DBEC5B3" w14:textId="7CC0598C" w:rsidR="00293AE7" w:rsidRDefault="00293AE7" w:rsidP="00293AE7">
            <w:pPr>
              <w:pStyle w:val="a3"/>
              <w:ind w:left="0"/>
              <w:jc w:val="center"/>
              <w:rPr>
                <w:rFonts w:ascii="UD ??????? ?????? N-R" w:eastAsia="UD ??????? ?????? N-R"/>
              </w:rPr>
            </w:pPr>
            <w:r w:rsidRPr="00293AE7">
              <w:rPr>
                <w:rFonts w:ascii="UD ??????? ?????? N-R" w:eastAsia="UD ??????? ?????? N-R"/>
              </w:rPr>
              <w:t>Ｂ　圏</w:t>
            </w:r>
          </w:p>
        </w:tc>
        <w:tc>
          <w:tcPr>
            <w:tcW w:w="8317" w:type="dxa"/>
          </w:tcPr>
          <w:p w14:paraId="7AB3517F" w14:textId="5FC316B7" w:rsidR="00293AE7" w:rsidRDefault="00293AE7" w:rsidP="00293AE7">
            <w:pPr>
              <w:pStyle w:val="a3"/>
              <w:ind w:left="0"/>
              <w:rPr>
                <w:rFonts w:ascii="UD ??????? ?????? N-R" w:eastAsia="UD ??????? ?????? N-R"/>
              </w:rPr>
            </w:pPr>
            <w:r w:rsidRPr="00293AE7">
              <w:rPr>
                <w:rFonts w:ascii="UD ??????? ?????? N-R" w:eastAsia="UD ??????? ?????? N-R"/>
              </w:rPr>
              <w:t>募集人員の110%程度が含まれるように範囲を設定し、それからＡ圏を除いたものをＢ圏とする。</w:t>
            </w:r>
          </w:p>
        </w:tc>
      </w:tr>
      <w:tr w:rsidR="00293AE7" w14:paraId="10B525C3" w14:textId="77777777" w:rsidTr="00293AE7">
        <w:tc>
          <w:tcPr>
            <w:tcW w:w="973" w:type="dxa"/>
            <w:vAlign w:val="center"/>
          </w:tcPr>
          <w:p w14:paraId="5F61DDE7" w14:textId="039B7012" w:rsidR="00293AE7" w:rsidRDefault="00293AE7" w:rsidP="00293AE7">
            <w:pPr>
              <w:pStyle w:val="a3"/>
              <w:ind w:left="0"/>
              <w:jc w:val="center"/>
              <w:rPr>
                <w:rFonts w:ascii="UD ??????? ?????? N-R" w:eastAsia="UD ??????? ?????? N-R"/>
              </w:rPr>
            </w:pPr>
            <w:r w:rsidRPr="00293AE7">
              <w:rPr>
                <w:rFonts w:ascii="UD ??????? ?????? N-R" w:eastAsia="UD ??????? ?????? N-R"/>
              </w:rPr>
              <w:t>Ｃ  圏</w:t>
            </w:r>
          </w:p>
        </w:tc>
        <w:tc>
          <w:tcPr>
            <w:tcW w:w="8317" w:type="dxa"/>
          </w:tcPr>
          <w:p w14:paraId="488AD25D" w14:textId="2DFFE217" w:rsidR="00293AE7" w:rsidRDefault="00293AE7" w:rsidP="00293AE7">
            <w:pPr>
              <w:pStyle w:val="a3"/>
              <w:ind w:left="0"/>
              <w:rPr>
                <w:rFonts w:ascii="UD ??????? ?????? N-R" w:eastAsia="UD ??????? ?????? N-R"/>
              </w:rPr>
            </w:pPr>
            <w:r w:rsidRPr="00293AE7">
              <w:rPr>
                <w:rFonts w:ascii="UD ??????? ?????? N-R" w:eastAsia="UD ??????? ?????? N-R"/>
              </w:rPr>
              <w:t>Ａ圏とＢ圏を除いた残りをＣ圏とする。</w:t>
            </w:r>
          </w:p>
        </w:tc>
      </w:tr>
    </w:tbl>
    <w:p w14:paraId="37C21630" w14:textId="37F3583A" w:rsidR="00293AE7" w:rsidRPr="00293AE7" w:rsidRDefault="00293AE7" w:rsidP="00293AE7">
      <w:pPr>
        <w:pStyle w:val="a3"/>
        <w:ind w:left="440"/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 xml:space="preserve"> </w:t>
      </w:r>
    </w:p>
    <w:p w14:paraId="66FEB653" w14:textId="04A2DE95" w:rsidR="00293AE7" w:rsidRPr="00293AE7" w:rsidRDefault="00293AE7" w:rsidP="007111B4">
      <w:pPr>
        <w:pStyle w:val="a3"/>
        <w:numPr>
          <w:ilvl w:val="0"/>
          <w:numId w:val="6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合格者、不合格者の決め方</w:t>
      </w:r>
    </w:p>
    <w:p w14:paraId="15832C4B" w14:textId="77777777" w:rsidR="00293AE7" w:rsidRDefault="00293AE7" w:rsidP="007111B4">
      <w:pPr>
        <w:pStyle w:val="a3"/>
        <w:numPr>
          <w:ilvl w:val="0"/>
          <w:numId w:val="3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Ａ圏の中で下記の条件１の(a)、(b)のいずれかに該当するもの以外は合格者とする。ただし、第二志望の者は、Ｂ圏として扱う。</w:t>
      </w:r>
    </w:p>
    <w:p w14:paraId="60C073EA" w14:textId="77777777" w:rsidR="00293AE7" w:rsidRDefault="00293AE7" w:rsidP="007111B4">
      <w:pPr>
        <w:pStyle w:val="a3"/>
        <w:numPr>
          <w:ilvl w:val="0"/>
          <w:numId w:val="3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Ｃ圏の中で条件２の(a)、(b)、(c)、(d)のいずれかに該当するもの以外は不合格とする。</w:t>
      </w:r>
    </w:p>
    <w:p w14:paraId="6F8C5E78" w14:textId="513E5E9C" w:rsidR="00293AE7" w:rsidRPr="00293AE7" w:rsidRDefault="00293AE7" w:rsidP="007111B4">
      <w:pPr>
        <w:pStyle w:val="a3"/>
        <w:numPr>
          <w:ilvl w:val="0"/>
          <w:numId w:val="3"/>
        </w:num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Ｂ圏の者にア、イで保留になった者を含めて条件２の(a)、(b)、(c)、(d)により総合的に判断し、合格者を決定する。</w:t>
      </w:r>
    </w:p>
    <w:p w14:paraId="77110CD0" w14:textId="0B839AAE" w:rsidR="00293AE7" w:rsidRPr="00293AE7" w:rsidRDefault="00293AE7" w:rsidP="00293AE7">
      <w:p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>条件１</w:t>
      </w:r>
    </w:p>
    <w:p w14:paraId="64258511" w14:textId="223704B2" w:rsidR="00293AE7" w:rsidRPr="00293AE7" w:rsidRDefault="00293AE7" w:rsidP="00293AE7">
      <w:pPr>
        <w:pStyle w:val="a3"/>
        <w:ind w:left="440"/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 xml:space="preserve">    (a) 行動等の記録に好ましくない記載がある者</w:t>
      </w:r>
    </w:p>
    <w:p w14:paraId="63E2A9FA" w14:textId="77777777" w:rsidR="00293AE7" w:rsidRDefault="00293AE7" w:rsidP="00293AE7">
      <w:pPr>
        <w:pStyle w:val="a3"/>
        <w:ind w:left="440"/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 xml:space="preserve">    (b) 正当な理由がなく、欠席の数が多い者</w:t>
      </w:r>
    </w:p>
    <w:p w14:paraId="2B112505" w14:textId="2F6F8233" w:rsidR="00293AE7" w:rsidRPr="00293AE7" w:rsidRDefault="00293AE7" w:rsidP="00293AE7">
      <w:pPr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 xml:space="preserve"> 条件２</w:t>
      </w:r>
    </w:p>
    <w:p w14:paraId="4BC608A2" w14:textId="32F3CC62" w:rsidR="00293AE7" w:rsidRPr="00293AE7" w:rsidRDefault="00293AE7" w:rsidP="00293AE7">
      <w:pPr>
        <w:pStyle w:val="a3"/>
        <w:ind w:left="440"/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 xml:space="preserve">    (a) 観点別学習状況が著しく良い者</w:t>
      </w:r>
    </w:p>
    <w:p w14:paraId="07460433" w14:textId="3A0F1B82" w:rsidR="00293AE7" w:rsidRPr="00293AE7" w:rsidRDefault="00293AE7" w:rsidP="00293AE7">
      <w:pPr>
        <w:pStyle w:val="a3"/>
        <w:ind w:left="440"/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 xml:space="preserve">    (b) 学力検査点が著しく高い者</w:t>
      </w:r>
    </w:p>
    <w:p w14:paraId="241BC7BC" w14:textId="1BFD0485" w:rsidR="00293AE7" w:rsidRPr="00293AE7" w:rsidRDefault="00293AE7" w:rsidP="00293AE7">
      <w:pPr>
        <w:pStyle w:val="a3"/>
        <w:ind w:left="440"/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 xml:space="preserve">    (c) 内申点が著しく高い者</w:t>
      </w:r>
    </w:p>
    <w:p w14:paraId="3C7E0A28" w14:textId="4FB7E2D8" w:rsidR="00293AE7" w:rsidRPr="00293AE7" w:rsidRDefault="00293AE7" w:rsidP="00293AE7">
      <w:pPr>
        <w:pStyle w:val="a3"/>
        <w:ind w:left="440"/>
        <w:rPr>
          <w:rFonts w:ascii="UD デジタル 教科書体 N-R" w:eastAsia="UD デジタル 教科書体 N-R"/>
        </w:rPr>
      </w:pPr>
      <w:r w:rsidRPr="00293AE7">
        <w:rPr>
          <w:rFonts w:ascii="UD デジタル 教科書体 N-R" w:eastAsia="UD デジタル 教科書体 N-R" w:hint="eastAsia"/>
        </w:rPr>
        <w:t xml:space="preserve">    (d) 行動等の記録が著しく良い者</w:t>
      </w:r>
    </w:p>
    <w:sectPr w:rsidR="00293AE7" w:rsidRPr="00293AE7" w:rsidSect="00D27AF9">
      <w:pgSz w:w="11900" w:h="16840"/>
      <w:pgMar w:top="1440" w:right="1077" w:bottom="1440" w:left="1077" w:header="851" w:footer="992" w:gutter="0"/>
      <w:cols w:space="425"/>
      <w:docGrid w:type="linesAndChars" w:linePitch="360" w:charSpace="-1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B0604020202020204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??????? ?????? N-R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549"/>
    <w:multiLevelType w:val="hybridMultilevel"/>
    <w:tmpl w:val="CAAA92BC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109B367D"/>
    <w:multiLevelType w:val="hybridMultilevel"/>
    <w:tmpl w:val="EA729F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D63B60"/>
    <w:multiLevelType w:val="hybridMultilevel"/>
    <w:tmpl w:val="2682A774"/>
    <w:lvl w:ilvl="0" w:tplc="04090001">
      <w:start w:val="1"/>
      <w:numFmt w:val="bullet"/>
      <w:lvlText w:val=""/>
      <w:lvlJc w:val="left"/>
      <w:pPr>
        <w:ind w:left="8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40"/>
      </w:pPr>
      <w:rPr>
        <w:rFonts w:ascii="Wingdings" w:hAnsi="Wingdings" w:hint="default"/>
      </w:rPr>
    </w:lvl>
  </w:abstractNum>
  <w:abstractNum w:abstractNumId="3" w15:restartNumberingAfterBreak="0">
    <w:nsid w:val="21BE1CBE"/>
    <w:multiLevelType w:val="hybridMultilevel"/>
    <w:tmpl w:val="979254F0"/>
    <w:lvl w:ilvl="0" w:tplc="04090001">
      <w:start w:val="1"/>
      <w:numFmt w:val="bullet"/>
      <w:lvlText w:val=""/>
      <w:lvlJc w:val="left"/>
      <w:pPr>
        <w:ind w:left="109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3" w:hanging="440"/>
      </w:pPr>
      <w:rPr>
        <w:rFonts w:ascii="Wingdings" w:hAnsi="Wingdings" w:hint="default"/>
      </w:rPr>
    </w:lvl>
  </w:abstractNum>
  <w:abstractNum w:abstractNumId="4" w15:restartNumberingAfterBreak="0">
    <w:nsid w:val="32B63BB5"/>
    <w:multiLevelType w:val="hybridMultilevel"/>
    <w:tmpl w:val="898AE720"/>
    <w:lvl w:ilvl="0" w:tplc="04090001">
      <w:start w:val="1"/>
      <w:numFmt w:val="bullet"/>
      <w:lvlText w:val=""/>
      <w:lvlJc w:val="left"/>
      <w:pPr>
        <w:ind w:left="15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7" w:hanging="440"/>
      </w:pPr>
      <w:rPr>
        <w:rFonts w:ascii="Wingdings" w:hAnsi="Wingdings" w:hint="default"/>
      </w:rPr>
    </w:lvl>
  </w:abstractNum>
  <w:abstractNum w:abstractNumId="5" w15:restartNumberingAfterBreak="0">
    <w:nsid w:val="42DA632F"/>
    <w:multiLevelType w:val="hybridMultilevel"/>
    <w:tmpl w:val="B3740EC4"/>
    <w:lvl w:ilvl="0" w:tplc="3F589132">
      <w:start w:val="1"/>
      <w:numFmt w:val="decimalEnclosedCircle"/>
      <w:lvlText w:val="%1"/>
      <w:lvlJc w:val="left"/>
      <w:pPr>
        <w:ind w:left="106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40"/>
      </w:pPr>
    </w:lvl>
    <w:lvl w:ilvl="3" w:tplc="0409000F" w:tentative="1">
      <w:start w:val="1"/>
      <w:numFmt w:val="decimal"/>
      <w:lvlText w:val="%4."/>
      <w:lvlJc w:val="left"/>
      <w:pPr>
        <w:ind w:left="2387" w:hanging="440"/>
      </w:pPr>
    </w:lvl>
    <w:lvl w:ilvl="4" w:tplc="04090017" w:tentative="1">
      <w:start w:val="1"/>
      <w:numFmt w:val="aiueoFullWidth"/>
      <w:lvlText w:val="(%5)"/>
      <w:lvlJc w:val="left"/>
      <w:pPr>
        <w:ind w:left="28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40"/>
      </w:pPr>
    </w:lvl>
    <w:lvl w:ilvl="6" w:tplc="0409000F" w:tentative="1">
      <w:start w:val="1"/>
      <w:numFmt w:val="decimal"/>
      <w:lvlText w:val="%7."/>
      <w:lvlJc w:val="left"/>
      <w:pPr>
        <w:ind w:left="3707" w:hanging="440"/>
      </w:pPr>
    </w:lvl>
    <w:lvl w:ilvl="7" w:tplc="04090017" w:tentative="1">
      <w:start w:val="1"/>
      <w:numFmt w:val="aiueoFullWidth"/>
      <w:lvlText w:val="(%8)"/>
      <w:lvlJc w:val="left"/>
      <w:pPr>
        <w:ind w:left="41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40"/>
      </w:pPr>
    </w:lvl>
  </w:abstractNum>
  <w:abstractNum w:abstractNumId="6" w15:restartNumberingAfterBreak="0">
    <w:nsid w:val="4D38334A"/>
    <w:multiLevelType w:val="hybridMultilevel"/>
    <w:tmpl w:val="D3EE00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78F600C"/>
    <w:multiLevelType w:val="hybridMultilevel"/>
    <w:tmpl w:val="867A9A7C"/>
    <w:lvl w:ilvl="0" w:tplc="EDAA1D28">
      <w:start w:val="1"/>
      <w:numFmt w:val="decimal"/>
      <w:lvlText w:val="%1"/>
      <w:lvlJc w:val="left"/>
      <w:pPr>
        <w:ind w:left="6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8" w15:restartNumberingAfterBreak="0">
    <w:nsid w:val="5F7F5C68"/>
    <w:multiLevelType w:val="hybridMultilevel"/>
    <w:tmpl w:val="B2EC802E"/>
    <w:lvl w:ilvl="0" w:tplc="3F589132">
      <w:start w:val="1"/>
      <w:numFmt w:val="decimalEnclosedCircle"/>
      <w:lvlText w:val="%1"/>
      <w:lvlJc w:val="left"/>
      <w:pPr>
        <w:ind w:left="13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9" w15:restartNumberingAfterBreak="0">
    <w:nsid w:val="68985104"/>
    <w:multiLevelType w:val="hybridMultilevel"/>
    <w:tmpl w:val="99BAE550"/>
    <w:lvl w:ilvl="0" w:tplc="EF6ED938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6A9C3D38"/>
    <w:multiLevelType w:val="hybridMultilevel"/>
    <w:tmpl w:val="863AFD42"/>
    <w:lvl w:ilvl="0" w:tplc="EF6ED938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72155449"/>
    <w:multiLevelType w:val="hybridMultilevel"/>
    <w:tmpl w:val="8C46DAA2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4688403">
    <w:abstractNumId w:val="10"/>
  </w:num>
  <w:num w:numId="2" w16cid:durableId="1315111310">
    <w:abstractNumId w:val="8"/>
  </w:num>
  <w:num w:numId="3" w16cid:durableId="1625771942">
    <w:abstractNumId w:val="9"/>
  </w:num>
  <w:num w:numId="4" w16cid:durableId="1632128720">
    <w:abstractNumId w:val="6"/>
  </w:num>
  <w:num w:numId="5" w16cid:durableId="177039340">
    <w:abstractNumId w:val="0"/>
  </w:num>
  <w:num w:numId="6" w16cid:durableId="2041585896">
    <w:abstractNumId w:val="1"/>
  </w:num>
  <w:num w:numId="7" w16cid:durableId="2118668988">
    <w:abstractNumId w:val="4"/>
  </w:num>
  <w:num w:numId="8" w16cid:durableId="562527013">
    <w:abstractNumId w:val="2"/>
  </w:num>
  <w:num w:numId="9" w16cid:durableId="586576750">
    <w:abstractNumId w:val="3"/>
  </w:num>
  <w:num w:numId="10" w16cid:durableId="630478702">
    <w:abstractNumId w:val="11"/>
  </w:num>
  <w:num w:numId="11" w16cid:durableId="939334272">
    <w:abstractNumId w:val="7"/>
  </w:num>
  <w:num w:numId="12" w16cid:durableId="997000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E9"/>
    <w:rsid w:val="00003BA0"/>
    <w:rsid w:val="0002419A"/>
    <w:rsid w:val="000333C3"/>
    <w:rsid w:val="000A1787"/>
    <w:rsid w:val="000A6DC2"/>
    <w:rsid w:val="001316E0"/>
    <w:rsid w:val="00151C1D"/>
    <w:rsid w:val="00233CBB"/>
    <w:rsid w:val="00236C73"/>
    <w:rsid w:val="00273E43"/>
    <w:rsid w:val="00293AE7"/>
    <w:rsid w:val="002A734E"/>
    <w:rsid w:val="002E58FE"/>
    <w:rsid w:val="00325086"/>
    <w:rsid w:val="003D3385"/>
    <w:rsid w:val="003D5307"/>
    <w:rsid w:val="003F20A6"/>
    <w:rsid w:val="00424FB4"/>
    <w:rsid w:val="005043C8"/>
    <w:rsid w:val="005056E9"/>
    <w:rsid w:val="005248E9"/>
    <w:rsid w:val="005567A2"/>
    <w:rsid w:val="00562375"/>
    <w:rsid w:val="005D0290"/>
    <w:rsid w:val="00645ECC"/>
    <w:rsid w:val="00686FC9"/>
    <w:rsid w:val="00690434"/>
    <w:rsid w:val="006E3F4D"/>
    <w:rsid w:val="007111B4"/>
    <w:rsid w:val="00733137"/>
    <w:rsid w:val="00762BED"/>
    <w:rsid w:val="00805AA7"/>
    <w:rsid w:val="00982CA8"/>
    <w:rsid w:val="009F0FB3"/>
    <w:rsid w:val="00A11667"/>
    <w:rsid w:val="00AD0AC9"/>
    <w:rsid w:val="00B00036"/>
    <w:rsid w:val="00B67509"/>
    <w:rsid w:val="00C416E5"/>
    <w:rsid w:val="00C52AE4"/>
    <w:rsid w:val="00CC614D"/>
    <w:rsid w:val="00D00711"/>
    <w:rsid w:val="00D27AF9"/>
    <w:rsid w:val="00D7106C"/>
    <w:rsid w:val="00D94453"/>
    <w:rsid w:val="00D95E31"/>
    <w:rsid w:val="00DE3A26"/>
    <w:rsid w:val="00F36F81"/>
    <w:rsid w:val="00F8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817BD"/>
  <w15:chartTrackingRefBased/>
  <w15:docId w15:val="{8272EB12-19A7-7E45-9A20-F2FA436A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uiPriority w:val="9"/>
    <w:qFormat/>
    <w:rsid w:val="005248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52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524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5248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uiPriority w:val="9"/>
    <w:semiHidden/>
    <w:unhideWhenUsed/>
    <w:qFormat/>
    <w:rsid w:val="005248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uiPriority w:val="9"/>
    <w:semiHidden/>
    <w:unhideWhenUsed/>
    <w:qFormat/>
    <w:rsid w:val="005248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uiPriority w:val="9"/>
    <w:semiHidden/>
    <w:unhideWhenUsed/>
    <w:qFormat/>
    <w:rsid w:val="005248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uiPriority w:val="9"/>
    <w:semiHidden/>
    <w:unhideWhenUsed/>
    <w:qFormat/>
    <w:rsid w:val="005248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uiPriority w:val="9"/>
    <w:semiHidden/>
    <w:unhideWhenUsed/>
    <w:qFormat/>
    <w:rsid w:val="005248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5248E9"/>
    <w:pPr>
      <w:ind w:left="720"/>
      <w:contextualSpacing/>
    </w:pPr>
  </w:style>
  <w:style w:type="character" w:styleId="20">
    <w:name w:val="Intense Emphasis"/>
    <w:basedOn w:val="a0"/>
    <w:uiPriority w:val="21"/>
    <w:qFormat/>
    <w:rsid w:val="005248E9"/>
    <w:rPr>
      <w:i/>
      <w:iCs/>
      <w:color w:val="0F4761" w:themeColor="accent1" w:themeShade="BF"/>
    </w:rPr>
  </w:style>
  <w:style w:type="character" w:styleId="21">
    <w:name w:val="Intense Reference"/>
    <w:basedOn w:val="a0"/>
    <w:uiPriority w:val="32"/>
    <w:qFormat/>
    <w:rsid w:val="005248E9"/>
    <w:rPr>
      <w:b/>
      <w:bCs/>
      <w:smallCaps/>
      <w:color w:val="0F4761" w:themeColor="accent1" w:themeShade="BF"/>
      <w:spacing w:val="5"/>
    </w:rPr>
  </w:style>
  <w:style w:type="table" w:styleId="a4">
    <w:name w:val="Table Grid"/>
    <w:basedOn w:val="TableNormal"/>
    <w:uiPriority w:val="59"/>
    <w:rsid w:val="0029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562375"/>
  </w:style>
  <w:style w:type="character" w:customStyle="1" w:styleId="10">
    <w:name w:val="見出し 1 (文字)"/>
    <w:basedOn w:val="a0"/>
    <w:uiPriority w:val="9"/>
    <w:rsid w:val="007111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2">
    <w:name w:val="見出し 2 (文字)"/>
    <w:basedOn w:val="a0"/>
    <w:uiPriority w:val="9"/>
    <w:semiHidden/>
    <w:rsid w:val="007111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7111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711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711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711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uiPriority w:val="9"/>
    <w:semiHidden/>
    <w:rsid w:val="00711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uiPriority w:val="9"/>
    <w:semiHidden/>
    <w:rsid w:val="00711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uiPriority w:val="9"/>
    <w:semiHidden/>
    <w:rsid w:val="00711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a5">
    <w:name w:val="表題 (文字)"/>
    <w:basedOn w:val="a0"/>
    <w:uiPriority w:val="10"/>
    <w:rsid w:val="0071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題 (文字)"/>
    <w:basedOn w:val="a0"/>
    <w:uiPriority w:val="11"/>
    <w:rsid w:val="00711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引用文 (文字)"/>
    <w:basedOn w:val="a0"/>
    <w:uiPriority w:val="29"/>
    <w:rsid w:val="007111B4"/>
    <w:rPr>
      <w:i/>
      <w:iCs/>
      <w:color w:val="404040" w:themeColor="text1" w:themeTint="BF"/>
    </w:rPr>
  </w:style>
  <w:style w:type="character" w:customStyle="1" w:styleId="23">
    <w:name w:val="引用文 2 (文字)"/>
    <w:basedOn w:val="a0"/>
    <w:uiPriority w:val="30"/>
    <w:rsid w:val="007111B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4bdf0-ecd1-4fa4-8566-633d8bea4e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0E0FDB54706F4C96BB7C04FA52D6E3" ma:contentTypeVersion="11" ma:contentTypeDescription="新しいドキュメントを作成します。" ma:contentTypeScope="" ma:versionID="d2b100d151773272d7ea017416f53338">
  <xsd:schema xmlns:xsd="http://www.w3.org/2001/XMLSchema" xmlns:xs="http://www.w3.org/2001/XMLSchema" xmlns:p="http://schemas.microsoft.com/office/2006/metadata/properties" xmlns:ns2="ab34bdf0-ecd1-4fa4-8566-633d8bea4e27" targetNamespace="http://schemas.microsoft.com/office/2006/metadata/properties" ma:root="true" ma:fieldsID="80c5e296e5b255edc36ffa7aa958d079" ns2:_="">
    <xsd:import namespace="ab34bdf0-ecd1-4fa4-8566-633d8bea4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bdf0-ecd1-4fa4-8566-633d8bea4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90AFC-0F5E-47B8-A9BB-C8B1A5CFD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708BE-DB50-4A53-AE97-C19271F2586C}">
  <ds:schemaRefs>
    <ds:schemaRef ds:uri="http://schemas.microsoft.com/office/2006/metadata/properties"/>
    <ds:schemaRef ds:uri="http://schemas.microsoft.com/office/infopath/2007/PartnerControls"/>
    <ds:schemaRef ds:uri="ab34bdf0-ecd1-4fa4-8566-633d8bea4e27"/>
  </ds:schemaRefs>
</ds:datastoreItem>
</file>

<file path=customXml/itemProps3.xml><?xml version="1.0" encoding="utf-8"?>
<ds:datastoreItem xmlns:ds="http://schemas.openxmlformats.org/officeDocument/2006/customXml" ds:itemID="{FE371A5B-6FDD-4643-BB21-88D6DFEB2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4bdf0-ecd1-4fa4-8566-633d8bea4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597</Words>
  <Characters>639</Characters>
  <Application>Microsoft Office Word</Application>
  <DocSecurity>0</DocSecurity>
  <Lines>45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小那覇憲</dc:creator>
  <cp:keywords/>
  <dc:description/>
  <cp:lastModifiedBy>小那覇憲</cp:lastModifiedBy>
  <cp:revision>17</cp:revision>
  <cp:lastPrinted>2025-10-31T00:53:00Z</cp:lastPrinted>
  <dcterms:created xsi:type="dcterms:W3CDTF">2025-10-15T17:21:00Z</dcterms:created>
  <dcterms:modified xsi:type="dcterms:W3CDTF">2025-10-31T01:26:00Z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0x010100190E0FDB54706F4C96BB7C04FA52D6E3</vt:lpwstr>
  </property>
  <property fmtid="{D5CDD505-2E9C-101B-9397-08002B2CF9AE}" pid="3" name="MediaServiceImageTags">
    <vt:lpwstr/>
  </property>
</Properties>
</file>